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Massachusetts Association of Public Health Nurses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633413" cy="588963"/>
            <wp:effectExtent b="0" l="0" r="0" t="0"/>
            <wp:wrapNone/>
            <wp:docPr descr="E:\PM6\Freelance\nurse.bmp" id="1" name="image1.png"/>
            <a:graphic>
              <a:graphicData uri="http://schemas.openxmlformats.org/drawingml/2006/picture">
                <pic:pic>
                  <pic:nvPicPr>
                    <pic:cNvPr descr="E:\PM6\Freelance\nurse.bmp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588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Consent to Serve Form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Per By-Laws Article III, sections 1 and 4, All candidates for office must be : 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Current Regular Members OR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Current Retired Members with a minimum of five (5) years active membership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I, ___________________, agree to serve in the position of (check one)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45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Elect (one year, then President one year, then Immediate Past President one year)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45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(2 year term)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45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(2 year term)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prescribed term of office as a member of the MAPHN Board of Directors.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_________________________________________________Date__________________    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Credentials ___________________________________________________________________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Address _______________________________________________________________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__________________________________________ Phone_______________________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prepare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brief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bio and organizational goal in the space below. This information will be included on the official ballot.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i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Return this completed form electronically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the Nominating Committee before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5PM Friday, April 12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, 2024.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return address is elections@maphn.org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2024 Nominating Committee thanks you for your participation in MAPHN.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Reviewed and Updated 2/9/2024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i w:val="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