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7DC" w:rsidRDefault="001117DC" w:rsidP="00627FF2">
      <w:pPr>
        <w:rPr>
          <w:b/>
          <w:sz w:val="28"/>
          <w:szCs w:val="28"/>
        </w:rPr>
      </w:pPr>
      <w:bookmarkStart w:id="0" w:name="_GoBack"/>
      <w:bookmarkEnd w:id="0"/>
      <w:r w:rsidRPr="00846204">
        <w:rPr>
          <w:b/>
          <w:sz w:val="28"/>
          <w:szCs w:val="28"/>
        </w:rPr>
        <w:t xml:space="preserve">MDPH </w:t>
      </w:r>
      <w:r w:rsidR="004A45B2" w:rsidRPr="00846204">
        <w:rPr>
          <w:b/>
          <w:sz w:val="28"/>
          <w:szCs w:val="28"/>
        </w:rPr>
        <w:t>Bureau of Infectious Disease and Laboratory Science (BIDLS)</w:t>
      </w:r>
    </w:p>
    <w:p w:rsidR="00474DCA" w:rsidRPr="00474DCA" w:rsidRDefault="00474DCA" w:rsidP="00627FF2">
      <w:r w:rsidRPr="005829BB">
        <w:t xml:space="preserve">Infectious diseases cause illness, suffering and even death, and place an enormous financial burden on society. State public health officials rely on local </w:t>
      </w:r>
      <w:r>
        <w:t>health departments</w:t>
      </w:r>
      <w:r w:rsidRPr="005829BB">
        <w:t>, healthcare providers, laboratories and other public health personnel to report the occurrence of notifia</w:t>
      </w:r>
      <w:r>
        <w:t xml:space="preserve">ble diseases as required by law.  </w:t>
      </w:r>
      <w:r w:rsidRPr="005829BB">
        <w:t>(Massachusetts General Laws, Chapter 111, sections 3, 6, 7, 109, 110, 111 and 112 and Chapter 111D, Section 6. These laws are implemented by regulation under Chapter 105, Code of Massachusetts Regulations (CMR), Section 300.000: Reportable Diseases, Surveillance, and Isolation &amp; Quarantine Requirements.)</w:t>
      </w:r>
    </w:p>
    <w:p w:rsidR="004A45B2" w:rsidRDefault="00627FF2" w:rsidP="00627FF2">
      <w:r>
        <w:rPr>
          <w:b/>
        </w:rPr>
        <w:t xml:space="preserve">Regulation: </w:t>
      </w:r>
      <w:hyperlink r:id="rId8" w:history="1">
        <w:r w:rsidR="00541AF6">
          <w:rPr>
            <w:color w:val="0000FF"/>
            <w:u w:val="single"/>
          </w:rPr>
          <w:t xml:space="preserve">105 CMR 300.00: Reportable diseases, surveillance, and isolation and quarantine requirements </w:t>
        </w:r>
      </w:hyperlink>
    </w:p>
    <w:p w:rsidR="005E021A" w:rsidRPr="005E021A" w:rsidRDefault="00627FF2" w:rsidP="005E021A">
      <w:pPr>
        <w:rPr>
          <w:color w:val="0000FF"/>
          <w:u w:val="single"/>
        </w:rPr>
      </w:pPr>
      <w:r>
        <w:rPr>
          <w:b/>
        </w:rPr>
        <w:t>Website</w:t>
      </w:r>
      <w:r w:rsidR="005E021A">
        <w:rPr>
          <w:b/>
        </w:rPr>
        <w:t>s</w:t>
      </w:r>
      <w:r>
        <w:rPr>
          <w:b/>
        </w:rPr>
        <w:t xml:space="preserve">: </w:t>
      </w:r>
      <w:hyperlink r:id="rId9" w:history="1">
        <w:r w:rsidR="00541AF6">
          <w:rPr>
            <w:color w:val="0000FF"/>
            <w:u w:val="single"/>
          </w:rPr>
          <w:t>Bureau of Infectious Disease and Laboratory Sciences</w:t>
        </w:r>
      </w:hyperlink>
    </w:p>
    <w:p w:rsidR="005E021A" w:rsidRDefault="005E021A" w:rsidP="005E021A">
      <w:pPr>
        <w:spacing w:after="0" w:line="240" w:lineRule="auto"/>
        <w:rPr>
          <w:color w:val="0000FF"/>
          <w:u w:val="single"/>
        </w:rPr>
        <w:sectPr w:rsidR="005E021A" w:rsidSect="005E021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990" w:left="1440" w:header="720" w:footer="720" w:gutter="0"/>
          <w:cols w:space="720"/>
          <w:docGrid w:linePitch="360"/>
        </w:sectPr>
      </w:pPr>
    </w:p>
    <w:tbl>
      <w:tblPr>
        <w:tblW w:w="12300" w:type="dxa"/>
        <w:tblCellMar>
          <w:top w:w="15" w:type="dxa"/>
          <w:left w:w="15" w:type="dxa"/>
          <w:bottom w:w="15" w:type="dxa"/>
          <w:right w:w="15" w:type="dxa"/>
        </w:tblCellMar>
        <w:tblLook w:val="04A0" w:firstRow="1" w:lastRow="0" w:firstColumn="1" w:lastColumn="0" w:noHBand="0" w:noVBand="1"/>
      </w:tblPr>
      <w:tblGrid>
        <w:gridCol w:w="7650"/>
        <w:gridCol w:w="4650"/>
      </w:tblGrid>
      <w:tr w:rsidR="005E021A" w:rsidRPr="005E021A" w:rsidTr="005E021A">
        <w:tc>
          <w:tcPr>
            <w:tcW w:w="7650" w:type="dxa"/>
            <w:tcBorders>
              <w:bottom w:val="single" w:sz="6" w:space="0" w:color="F2F2F2"/>
            </w:tcBorders>
            <w:tcMar>
              <w:top w:w="150" w:type="dxa"/>
              <w:left w:w="0" w:type="dxa"/>
              <w:bottom w:w="150" w:type="dxa"/>
              <w:right w:w="300" w:type="dxa"/>
            </w:tcMar>
            <w:hideMark/>
          </w:tcPr>
          <w:p w:rsidR="005E021A" w:rsidRDefault="00AC445D" w:rsidP="005E021A">
            <w:pPr>
              <w:spacing w:after="0" w:line="240" w:lineRule="auto"/>
              <w:rPr>
                <w:color w:val="0000FF"/>
                <w:u w:val="single"/>
              </w:rPr>
            </w:pPr>
            <w:hyperlink r:id="rId16" w:history="1">
              <w:r w:rsidR="005E021A" w:rsidRPr="005E021A">
                <w:rPr>
                  <w:rStyle w:val="Hyperlink"/>
                </w:rPr>
                <w:t>Office of Integrated Surveillance and Informatics Services (ISIS)</w:t>
              </w:r>
            </w:hyperlink>
          </w:p>
          <w:p w:rsidR="005E021A" w:rsidRDefault="005E021A" w:rsidP="005E021A">
            <w:pPr>
              <w:spacing w:after="0" w:line="240" w:lineRule="auto"/>
              <w:rPr>
                <w:color w:val="0000FF"/>
                <w:u w:val="single"/>
              </w:rPr>
            </w:pPr>
          </w:p>
          <w:p w:rsidR="005E021A" w:rsidRDefault="005E021A" w:rsidP="005E021A">
            <w:pPr>
              <w:spacing w:after="0" w:line="240" w:lineRule="auto"/>
              <w:rPr>
                <w:rFonts w:eastAsia="Times New Roman" w:cstheme="minorHAnsi"/>
                <w:color w:val="141414"/>
              </w:rPr>
            </w:pPr>
            <w:r w:rsidRPr="005E021A">
              <w:rPr>
                <w:rFonts w:eastAsia="Times New Roman" w:cstheme="minorHAnsi"/>
                <w:b/>
                <w:bCs/>
                <w:color w:val="141414"/>
              </w:rPr>
              <w:t>Telephone</w:t>
            </w:r>
            <w:r w:rsidRPr="005E021A">
              <w:rPr>
                <w:rFonts w:eastAsia="Times New Roman" w:cstheme="minorHAnsi"/>
                <w:color w:val="141414"/>
              </w:rPr>
              <w:br/>
              <w:t>(617) 983-6801</w:t>
            </w:r>
            <w:r>
              <w:t xml:space="preserve"> </w:t>
            </w:r>
            <w:r>
              <w:rPr>
                <w:rFonts w:eastAsia="Times New Roman" w:cstheme="minorHAnsi"/>
                <w:color w:val="141414"/>
              </w:rPr>
              <w:t>(Business hours)</w:t>
            </w:r>
            <w:r w:rsidRPr="005E021A">
              <w:rPr>
                <w:rFonts w:eastAsia="Times New Roman" w:cstheme="minorHAnsi"/>
                <w:color w:val="141414"/>
              </w:rPr>
              <w:br/>
            </w:r>
            <w:r w:rsidRPr="005E021A">
              <w:rPr>
                <w:rFonts w:eastAsia="Times New Roman" w:cstheme="minorHAnsi"/>
                <w:color w:val="141414"/>
              </w:rPr>
              <w:br/>
            </w:r>
            <w:r w:rsidRPr="005E021A">
              <w:rPr>
                <w:rFonts w:eastAsia="Times New Roman" w:cstheme="minorHAnsi"/>
                <w:b/>
                <w:bCs/>
                <w:color w:val="141414"/>
              </w:rPr>
              <w:t>Confidential Fax</w:t>
            </w:r>
            <w:r w:rsidRPr="005E021A">
              <w:rPr>
                <w:rFonts w:eastAsia="Times New Roman" w:cstheme="minorHAnsi"/>
                <w:color w:val="141414"/>
              </w:rPr>
              <w:br/>
              <w:t>(617) 983-6813</w:t>
            </w:r>
            <w:r>
              <w:rPr>
                <w:rFonts w:eastAsia="Times New Roman" w:cstheme="minorHAnsi"/>
                <w:color w:val="141414"/>
              </w:rPr>
              <w:t xml:space="preserve"> (</w:t>
            </w:r>
            <w:r w:rsidRPr="005E021A">
              <w:rPr>
                <w:rFonts w:eastAsia="Times New Roman" w:cstheme="minorHAnsi"/>
                <w:color w:val="141414"/>
              </w:rPr>
              <w:t>available 24/7</w:t>
            </w:r>
            <w:r>
              <w:rPr>
                <w:rFonts w:eastAsia="Times New Roman" w:cstheme="minorHAnsi"/>
                <w:color w:val="141414"/>
              </w:rPr>
              <w:t>)</w:t>
            </w:r>
            <w:r>
              <w:rPr>
                <w:rFonts w:eastAsia="Times New Roman" w:cstheme="minorHAnsi"/>
                <w:color w:val="141414"/>
              </w:rPr>
              <w:br/>
            </w:r>
          </w:p>
          <w:p w:rsidR="005E021A" w:rsidRPr="005E021A" w:rsidRDefault="005E021A" w:rsidP="005E021A">
            <w:pPr>
              <w:spacing w:after="0" w:line="240" w:lineRule="auto"/>
              <w:rPr>
                <w:rFonts w:eastAsia="Times New Roman" w:cstheme="minorHAnsi"/>
                <w:b/>
                <w:bCs/>
                <w:color w:val="141414"/>
              </w:rPr>
            </w:pPr>
            <w:r w:rsidRPr="005E021A">
              <w:rPr>
                <w:rFonts w:eastAsia="Times New Roman" w:cstheme="minorHAnsi"/>
                <w:b/>
                <w:bCs/>
                <w:color w:val="141414"/>
              </w:rPr>
              <w:t>Mailing Address</w:t>
            </w:r>
            <w:r>
              <w:rPr>
                <w:rFonts w:eastAsia="Times New Roman" w:cstheme="minorHAnsi"/>
                <w:b/>
                <w:bCs/>
                <w:color w:val="141414"/>
              </w:rPr>
              <w:t xml:space="preserve"> </w:t>
            </w:r>
            <w:r w:rsidRPr="005E021A">
              <w:rPr>
                <w:rFonts w:eastAsia="Times New Roman" w:cstheme="minorHAnsi"/>
                <w:bCs/>
                <w:i/>
                <w:color w:val="141414"/>
              </w:rPr>
              <w:t>(Stamp all envelopes "CONFIDENTIAL”)</w:t>
            </w:r>
            <w:r w:rsidRPr="005E021A">
              <w:rPr>
                <w:rFonts w:eastAsia="Times New Roman" w:cstheme="minorHAnsi"/>
                <w:color w:val="141414"/>
              </w:rPr>
              <w:br/>
              <w:t xml:space="preserve">Office of Integrated Surveillance </w:t>
            </w:r>
            <w:r>
              <w:rPr>
                <w:rFonts w:eastAsia="Times New Roman" w:cstheme="minorHAnsi"/>
                <w:color w:val="141414"/>
              </w:rPr>
              <w:t>and Informatics Services (ISIS)</w:t>
            </w:r>
            <w:r w:rsidRPr="005E021A">
              <w:rPr>
                <w:rFonts w:eastAsia="Times New Roman" w:cstheme="minorHAnsi"/>
                <w:color w:val="141414"/>
              </w:rPr>
              <w:br/>
              <w:t>305 South Street, 5th floor</w:t>
            </w:r>
            <w:r w:rsidRPr="005E021A">
              <w:rPr>
                <w:rFonts w:eastAsia="Times New Roman" w:cstheme="minorHAnsi"/>
                <w:color w:val="141414"/>
              </w:rPr>
              <w:br/>
              <w:t>Jamaica Plain, MA 02130</w:t>
            </w:r>
          </w:p>
        </w:tc>
        <w:tc>
          <w:tcPr>
            <w:tcW w:w="4650" w:type="dxa"/>
            <w:tcBorders>
              <w:bottom w:val="single" w:sz="6" w:space="0" w:color="F2F2F2"/>
            </w:tcBorders>
            <w:tcMar>
              <w:top w:w="150" w:type="dxa"/>
              <w:left w:w="0" w:type="dxa"/>
              <w:bottom w:w="150" w:type="dxa"/>
              <w:right w:w="300" w:type="dxa"/>
            </w:tcMar>
            <w:hideMark/>
          </w:tcPr>
          <w:p w:rsidR="005E021A" w:rsidRPr="005E021A" w:rsidRDefault="005E021A" w:rsidP="005E021A">
            <w:pPr>
              <w:spacing w:after="0" w:line="240" w:lineRule="auto"/>
              <w:rPr>
                <w:rFonts w:eastAsia="Times New Roman" w:cstheme="minorHAnsi"/>
                <w:color w:val="141414"/>
              </w:rPr>
            </w:pPr>
            <w:r w:rsidRPr="005E021A">
              <w:rPr>
                <w:rFonts w:eastAsia="Times New Roman" w:cstheme="minorHAnsi"/>
                <w:color w:val="141414"/>
              </w:rPr>
              <w:br/>
            </w:r>
            <w:r w:rsidRPr="005E021A">
              <w:rPr>
                <w:rFonts w:eastAsia="Times New Roman" w:cstheme="minorHAnsi"/>
                <w:color w:val="141414"/>
              </w:rPr>
              <w:br/>
            </w:r>
            <w:r w:rsidRPr="005E021A">
              <w:rPr>
                <w:rFonts w:eastAsia="Times New Roman" w:cstheme="minorHAnsi"/>
                <w:color w:val="141414"/>
              </w:rPr>
              <w:br/>
            </w:r>
          </w:p>
        </w:tc>
      </w:tr>
    </w:tbl>
    <w:p w:rsidR="005E021A" w:rsidRDefault="005E021A" w:rsidP="00627FF2">
      <w:pPr>
        <w:sectPr w:rsidR="005E021A" w:rsidSect="005E021A">
          <w:type w:val="continuous"/>
          <w:pgSz w:w="12240" w:h="15840"/>
          <w:pgMar w:top="1440" w:right="1440" w:bottom="990" w:left="1440" w:header="720" w:footer="720" w:gutter="0"/>
          <w:cols w:space="720"/>
          <w:docGrid w:linePitch="360"/>
        </w:sectPr>
      </w:pPr>
    </w:p>
    <w:p w:rsidR="0043314C" w:rsidRDefault="0043314C" w:rsidP="00627FF2">
      <w:r w:rsidRPr="0043314C">
        <w:rPr>
          <w:b/>
        </w:rPr>
        <w:lastRenderedPageBreak/>
        <w:t>Current Summary of Reportable Diseases:</w:t>
      </w:r>
      <w:r>
        <w:t xml:space="preserve"> </w:t>
      </w:r>
      <w:hyperlink r:id="rId17" w:history="1">
        <w:r>
          <w:rPr>
            <w:color w:val="0000FF"/>
            <w:u w:val="single"/>
          </w:rPr>
          <w:t>Infectious Disease Reporting | Mass.gov</w:t>
        </w:r>
      </w:hyperlink>
    </w:p>
    <w:p w:rsidR="00390FAC" w:rsidRDefault="00390FAC" w:rsidP="00390FAC">
      <w:pPr>
        <w:rPr>
          <w:rFonts w:eastAsia="Times New Roman" w:cstheme="minorHAnsi"/>
          <w:color w:val="141414"/>
        </w:rPr>
      </w:pPr>
      <w:r w:rsidRPr="00390FAC">
        <w:rPr>
          <w:rFonts w:eastAsia="Times New Roman" w:cstheme="minorHAnsi"/>
          <w:b/>
          <w:color w:val="141414"/>
        </w:rPr>
        <w:t>Urgent calls and infectious disease reporting</w:t>
      </w:r>
      <w:r w:rsidRPr="00390FAC">
        <w:rPr>
          <w:rFonts w:eastAsia="Times New Roman" w:cstheme="minorHAnsi"/>
          <w:color w:val="141414"/>
        </w:rPr>
        <w:t xml:space="preserve"> (617) 983–6800</w:t>
      </w:r>
    </w:p>
    <w:p w:rsidR="00390FAC" w:rsidRPr="00390FAC" w:rsidRDefault="00390FAC" w:rsidP="00390FAC">
      <w:pPr>
        <w:rPr>
          <w:rFonts w:eastAsia="Times New Roman" w:cstheme="minorHAnsi"/>
          <w:color w:val="141414"/>
        </w:rPr>
      </w:pPr>
      <w:r w:rsidRPr="00390FAC">
        <w:rPr>
          <w:rFonts w:eastAsia="Times New Roman" w:cstheme="minorHAnsi"/>
          <w:b/>
          <w:color w:val="141414"/>
        </w:rPr>
        <w:t>Infectious Disease Division</w:t>
      </w:r>
      <w:r w:rsidRPr="00390FAC">
        <w:rPr>
          <w:rFonts w:eastAsia="Times New Roman" w:cstheme="minorHAnsi"/>
          <w:color w:val="141414"/>
        </w:rPr>
        <w:t xml:space="preserve"> (617) 983-6550</w:t>
      </w:r>
    </w:p>
    <w:p w:rsidR="00390FAC" w:rsidRPr="00390FAC" w:rsidRDefault="00390FAC" w:rsidP="00390FAC">
      <w:pPr>
        <w:rPr>
          <w:rFonts w:eastAsia="Times New Roman" w:cstheme="minorHAnsi"/>
          <w:color w:val="141414"/>
        </w:rPr>
      </w:pPr>
      <w:r w:rsidRPr="00390FAC">
        <w:rPr>
          <w:rFonts w:eastAsia="Times New Roman" w:cstheme="minorHAnsi"/>
          <w:b/>
          <w:color w:val="141414"/>
        </w:rPr>
        <w:t>Laboratory Sciences Division</w:t>
      </w:r>
      <w:r w:rsidRPr="00390FAC">
        <w:rPr>
          <w:rFonts w:eastAsia="Times New Roman" w:cstheme="minorHAnsi"/>
          <w:color w:val="141414"/>
        </w:rPr>
        <w:t xml:space="preserve"> (617) 983–6201</w:t>
      </w:r>
    </w:p>
    <w:p w:rsidR="0012744A" w:rsidRDefault="00AC445D" w:rsidP="00627FF2">
      <w:pP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margin-left:-2.15pt;margin-top:6.4pt;width:495.95pt;height:71.8pt;z-index:-251658752;visibility:visible;mso-wrap-distance-left:9pt;mso-wrap-distance-top:0;mso-wrap-distance-right:9pt;mso-wrap-distance-bottom:0;mso-position-horizontal-relative:text;mso-position-vertical-relative:text;mso-width-relative:margin;mso-height-relative:margin;v-text-anchor:top" fillcolor="#c6d9f1 [671]">
            <v:shadow on="t" opacity=".5" offset="6pt,6pt"/>
            <v:textbox>
              <w:txbxContent>
                <w:p w:rsidR="0012744A" w:rsidRDefault="0012744A" w:rsidP="0012744A">
                  <w:pPr>
                    <w:rPr>
                      <w:b/>
                      <w:sz w:val="24"/>
                      <w:szCs w:val="24"/>
                    </w:rPr>
                  </w:pPr>
                  <w:r w:rsidRPr="00340291">
                    <w:rPr>
                      <w:b/>
                      <w:sz w:val="24"/>
                      <w:szCs w:val="24"/>
                    </w:rPr>
                    <w:t>A f</w:t>
                  </w:r>
                  <w:r>
                    <w:rPr>
                      <w:b/>
                      <w:sz w:val="24"/>
                      <w:szCs w:val="24"/>
                    </w:rPr>
                    <w:t xml:space="preserve">ree, comprehensive </w:t>
                  </w:r>
                  <w:r w:rsidRPr="00340291">
                    <w:rPr>
                      <w:b/>
                      <w:sz w:val="24"/>
                      <w:szCs w:val="24"/>
                    </w:rPr>
                    <w:t>online training on</w:t>
                  </w:r>
                  <w:r>
                    <w:rPr>
                      <w:b/>
                      <w:sz w:val="24"/>
                      <w:szCs w:val="24"/>
                    </w:rPr>
                    <w:t xml:space="preserve"> </w:t>
                  </w:r>
                  <w:r w:rsidRPr="0012744A">
                    <w:rPr>
                      <w:b/>
                      <w:sz w:val="24"/>
                      <w:szCs w:val="24"/>
                    </w:rPr>
                    <w:t>Infectio</w:t>
                  </w:r>
                  <w:r>
                    <w:rPr>
                      <w:b/>
                      <w:sz w:val="24"/>
                      <w:szCs w:val="24"/>
                    </w:rPr>
                    <w:t xml:space="preserve">us Disease Case Management </w:t>
                  </w:r>
                  <w:r w:rsidRPr="00340291">
                    <w:rPr>
                      <w:b/>
                      <w:sz w:val="24"/>
                      <w:szCs w:val="24"/>
                    </w:rPr>
                    <w:t>is available through the Local Public Health Institute (LPHI)</w:t>
                  </w:r>
                  <w:r>
                    <w:rPr>
                      <w:b/>
                      <w:sz w:val="24"/>
                      <w:szCs w:val="24"/>
                    </w:rPr>
                    <w:t>:</w:t>
                  </w:r>
                </w:p>
                <w:p w:rsidR="0012744A" w:rsidRDefault="0012744A" w:rsidP="0012744A">
                  <w:pPr>
                    <w:rPr>
                      <w:b/>
                      <w:sz w:val="24"/>
                      <w:szCs w:val="24"/>
                    </w:rPr>
                  </w:pPr>
                  <w:r w:rsidRPr="00340291">
                    <w:rPr>
                      <w:b/>
                      <w:sz w:val="24"/>
                      <w:szCs w:val="24"/>
                    </w:rPr>
                    <w:t xml:space="preserve">    </w:t>
                  </w:r>
                  <w:hyperlink r:id="rId18" w:history="1">
                    <w:r>
                      <w:rPr>
                        <w:color w:val="0000FF"/>
                        <w:u w:val="single"/>
                      </w:rPr>
                      <w:t>Infectious Disease Case Management/ LPHI</w:t>
                    </w:r>
                  </w:hyperlink>
                </w:p>
                <w:p w:rsidR="0012744A" w:rsidRDefault="0012744A" w:rsidP="0012744A">
                  <w:pPr>
                    <w:rPr>
                      <w:b/>
                      <w:sz w:val="24"/>
                      <w:szCs w:val="24"/>
                    </w:rPr>
                  </w:pPr>
                </w:p>
                <w:p w:rsidR="0012744A" w:rsidRPr="008B4E7B" w:rsidRDefault="0012744A" w:rsidP="0012744A">
                  <w:pPr>
                    <w:rPr>
                      <w:b/>
                      <w:sz w:val="24"/>
                      <w:szCs w:val="24"/>
                    </w:rPr>
                  </w:pPr>
                </w:p>
              </w:txbxContent>
            </v:textbox>
          </v:shape>
        </w:pict>
      </w:r>
    </w:p>
    <w:p w:rsidR="0012744A" w:rsidRDefault="0012744A" w:rsidP="0012744A">
      <w:pPr>
        <w:rPr>
          <w:b/>
          <w:sz w:val="28"/>
          <w:szCs w:val="28"/>
        </w:rPr>
      </w:pPr>
    </w:p>
    <w:p w:rsidR="0012744A" w:rsidRDefault="0012744A" w:rsidP="00627FF2">
      <w:pPr>
        <w:rPr>
          <w:b/>
          <w:sz w:val="28"/>
          <w:szCs w:val="28"/>
        </w:rPr>
      </w:pPr>
    </w:p>
    <w:p w:rsidR="000A2BC4" w:rsidRPr="00BF2E98" w:rsidRDefault="00BF2E98" w:rsidP="00BF2E98">
      <w:pPr>
        <w:pStyle w:val="ListParagraph"/>
        <w:numPr>
          <w:ilvl w:val="0"/>
          <w:numId w:val="1"/>
        </w:numPr>
        <w:rPr>
          <w:b/>
          <w:sz w:val="24"/>
          <w:szCs w:val="24"/>
        </w:rPr>
      </w:pPr>
      <w:r w:rsidRPr="00BF2E98">
        <w:rPr>
          <w:b/>
          <w:sz w:val="24"/>
          <w:szCs w:val="24"/>
        </w:rPr>
        <w:t>The Guide to Surveillance and Reporting</w:t>
      </w:r>
    </w:p>
    <w:p w:rsidR="00BF2E98" w:rsidRPr="00BF2E98" w:rsidRDefault="00BF2E98" w:rsidP="00BF2E98">
      <w:pPr>
        <w:pStyle w:val="ListParagraph"/>
        <w:numPr>
          <w:ilvl w:val="0"/>
          <w:numId w:val="1"/>
        </w:numPr>
        <w:rPr>
          <w:b/>
          <w:sz w:val="24"/>
          <w:szCs w:val="24"/>
        </w:rPr>
      </w:pPr>
      <w:r w:rsidRPr="00BF2E98">
        <w:rPr>
          <w:b/>
          <w:sz w:val="24"/>
          <w:szCs w:val="24"/>
        </w:rPr>
        <w:t>MA Virtual Epidemiological Network ( MAVEN )</w:t>
      </w:r>
    </w:p>
    <w:p w:rsidR="00BF2E98" w:rsidRPr="00BF2E98" w:rsidRDefault="00BF2E98" w:rsidP="00BF2E98">
      <w:pPr>
        <w:rPr>
          <w:b/>
          <w:sz w:val="24"/>
          <w:szCs w:val="24"/>
        </w:rPr>
      </w:pPr>
    </w:p>
    <w:p w:rsidR="006A31FB" w:rsidRPr="006A31FB" w:rsidRDefault="006A31FB" w:rsidP="006A31FB">
      <w:pPr>
        <w:pStyle w:val="ListParagraph"/>
        <w:numPr>
          <w:ilvl w:val="0"/>
          <w:numId w:val="2"/>
        </w:numPr>
        <w:ind w:left="360" w:hanging="360"/>
        <w:rPr>
          <w:b/>
          <w:sz w:val="28"/>
          <w:szCs w:val="28"/>
          <w:u w:val="single"/>
        </w:rPr>
      </w:pPr>
      <w:r w:rsidRPr="006A31FB">
        <w:rPr>
          <w:b/>
          <w:sz w:val="28"/>
          <w:szCs w:val="28"/>
          <w:u w:val="single"/>
        </w:rPr>
        <w:lastRenderedPageBreak/>
        <w:t>The Guide to Surveillance and Reporting</w:t>
      </w:r>
    </w:p>
    <w:p w:rsidR="00390FAC" w:rsidRDefault="009073ED" w:rsidP="00977FAC">
      <w:pPr>
        <w:jc w:val="center"/>
        <w:rPr>
          <w:b/>
        </w:rPr>
      </w:pPr>
      <w:r w:rsidRPr="00390FAC">
        <w:rPr>
          <w:b/>
          <w:sz w:val="28"/>
          <w:szCs w:val="28"/>
        </w:rPr>
        <w:t xml:space="preserve">Reference </w:t>
      </w:r>
      <w:r w:rsidR="00541AF6">
        <w:rPr>
          <w:b/>
          <w:sz w:val="28"/>
          <w:szCs w:val="28"/>
        </w:rPr>
        <w:t>Handbook</w:t>
      </w:r>
      <w:r w:rsidRPr="00390FAC">
        <w:rPr>
          <w:b/>
          <w:sz w:val="28"/>
          <w:szCs w:val="28"/>
        </w:rPr>
        <w:t>:</w:t>
      </w:r>
      <w:r w:rsidRPr="00390FAC">
        <w:rPr>
          <w:sz w:val="28"/>
          <w:szCs w:val="28"/>
        </w:rPr>
        <w:t xml:space="preserve">  </w:t>
      </w:r>
      <w:r w:rsidR="00541AF6" w:rsidRPr="00541AF6">
        <w:rPr>
          <w:b/>
          <w:sz w:val="28"/>
          <w:szCs w:val="28"/>
        </w:rPr>
        <w:t xml:space="preserve">The </w:t>
      </w:r>
      <w:r w:rsidRPr="00390FAC">
        <w:rPr>
          <w:b/>
          <w:sz w:val="28"/>
          <w:szCs w:val="28"/>
        </w:rPr>
        <w:t xml:space="preserve">Guide to Surveillance and </w:t>
      </w:r>
      <w:r w:rsidR="00AD7E08" w:rsidRPr="00390FAC">
        <w:rPr>
          <w:b/>
          <w:sz w:val="28"/>
          <w:szCs w:val="28"/>
        </w:rPr>
        <w:t>Reporting</w:t>
      </w:r>
    </w:p>
    <w:p w:rsidR="00977FAC" w:rsidRDefault="00AC445D" w:rsidP="00627FF2">
      <w:pPr>
        <w:rPr>
          <w:b/>
        </w:rPr>
      </w:pPr>
      <w:r>
        <w:rPr>
          <w:noProof/>
        </w:rPr>
        <w:pict>
          <v:shape id="Text Box 2" o:spid="_x0000_s1028" type="#_x0000_t202" style="position:absolute;margin-left:59.75pt;margin-top:.6pt;width:347.5pt;height:64.45pt;z-index:251659776;visibility:visible;mso-wrap-distance-left:9pt;mso-wrap-distance-top:0;mso-wrap-distance-right:9pt;mso-wrap-distance-bottom:0;mso-position-horizontal-relative:text;mso-position-vertical-relative:text;mso-width-relative:margin;mso-height-relative:margin;v-text-anchor:top" strokecolor="#4f81bd [3204]" strokeweight="2.75pt">
            <v:textbox style="mso-next-textbox:#Text Box 2">
              <w:txbxContent>
                <w:p w:rsidR="00977FAC" w:rsidRPr="00977FAC" w:rsidRDefault="00977FAC" w:rsidP="00977FAC">
                  <w:pPr>
                    <w:jc w:val="center"/>
                    <w:rPr>
                      <w:b/>
                      <w:i/>
                      <w:sz w:val="28"/>
                      <w:szCs w:val="28"/>
                    </w:rPr>
                  </w:pPr>
                  <w:r w:rsidRPr="00977FAC">
                    <w:rPr>
                      <w:b/>
                      <w:i/>
                      <w:sz w:val="28"/>
                      <w:szCs w:val="28"/>
                    </w:rPr>
                    <w:t>This is your Reportable Disease Bible!</w:t>
                  </w:r>
                </w:p>
                <w:p w:rsidR="00977FAC" w:rsidRPr="00977FAC" w:rsidRDefault="00AC445D" w:rsidP="00977FAC">
                  <w:pPr>
                    <w:jc w:val="center"/>
                    <w:rPr>
                      <w:b/>
                      <w:sz w:val="28"/>
                      <w:szCs w:val="28"/>
                    </w:rPr>
                  </w:pPr>
                  <w:hyperlink r:id="rId19" w:history="1">
                    <w:r w:rsidR="00977FAC" w:rsidRPr="00977FAC">
                      <w:rPr>
                        <w:color w:val="0000FF"/>
                        <w:sz w:val="28"/>
                        <w:szCs w:val="28"/>
                        <w:u w:val="single"/>
                      </w:rPr>
                      <w:t>Guide to Surveillance, Reporting and Control | Mass.gov</w:t>
                    </w:r>
                  </w:hyperlink>
                </w:p>
                <w:p w:rsidR="00977FAC" w:rsidRDefault="00977FAC"/>
              </w:txbxContent>
            </v:textbox>
          </v:shape>
        </w:pict>
      </w:r>
    </w:p>
    <w:p w:rsidR="00977FAC" w:rsidRDefault="00977FAC" w:rsidP="00627FF2">
      <w:pPr>
        <w:rPr>
          <w:b/>
        </w:rPr>
      </w:pPr>
    </w:p>
    <w:p w:rsidR="00977FAC" w:rsidRDefault="00977FAC" w:rsidP="00627FF2">
      <w:pPr>
        <w:rPr>
          <w:b/>
        </w:rPr>
      </w:pPr>
    </w:p>
    <w:p w:rsidR="00627FF2" w:rsidRPr="00627FF2" w:rsidRDefault="00390FAC" w:rsidP="00627FF2">
      <w:r w:rsidRPr="00390FAC">
        <w:rPr>
          <w:b/>
        </w:rPr>
        <w:t>The Guide</w:t>
      </w:r>
      <w:r>
        <w:t xml:space="preserve"> is a </w:t>
      </w:r>
      <w:r w:rsidR="009073ED" w:rsidRPr="009073ED">
        <w:t xml:space="preserve">Massachusetts-specific </w:t>
      </w:r>
      <w:r w:rsidR="00541AF6">
        <w:t>handbook</w:t>
      </w:r>
      <w:r w:rsidR="009073ED" w:rsidRPr="009073ED">
        <w:t xml:space="preserve"> to guide local </w:t>
      </w:r>
      <w:r w:rsidR="00171FF2">
        <w:t>Health Departments</w:t>
      </w:r>
      <w:r w:rsidR="009073ED" w:rsidRPr="009073ED">
        <w:t xml:space="preserve"> through surveillance and control of r</w:t>
      </w:r>
      <w:r>
        <w:t>eportable infectious diseases. It c</w:t>
      </w:r>
      <w:r w:rsidR="009073ED" w:rsidRPr="009073ED">
        <w:t xml:space="preserve">ontains basic epidemiological information as well as isolation and quarantine requirements for each reportable disease. </w:t>
      </w:r>
    </w:p>
    <w:p w:rsidR="00627FF2" w:rsidRPr="00AB5816" w:rsidRDefault="00775195" w:rsidP="00627FF2">
      <w:pPr>
        <w:rPr>
          <w:rFonts w:eastAsia="Times New Roman" w:cstheme="minorHAnsi"/>
          <w:color w:val="141414"/>
        </w:rPr>
      </w:pPr>
      <w:r>
        <w:t>Most Reportables will come from MDPH, although sometimes you will get reports from</w:t>
      </w:r>
      <w:r w:rsidR="00390FAC">
        <w:t xml:space="preserve"> other sources such as </w:t>
      </w:r>
      <w:r w:rsidR="00171FF2">
        <w:t>laboratories,</w:t>
      </w:r>
      <w:r>
        <w:t xml:space="preserve"> </w:t>
      </w:r>
      <w:r w:rsidR="00390FAC">
        <w:t>hospitals</w:t>
      </w:r>
      <w:r>
        <w:t>, school nurses, or physicians.</w:t>
      </w:r>
      <w:r w:rsidR="00AB5816">
        <w:t xml:space="preserve">  For </w:t>
      </w:r>
      <w:r w:rsidR="00171FF2">
        <w:rPr>
          <w:rFonts w:eastAsia="Times New Roman" w:cstheme="minorHAnsi"/>
          <w:color w:val="141414"/>
        </w:rPr>
        <w:t>u</w:t>
      </w:r>
      <w:r w:rsidR="00AB5816" w:rsidRPr="00390FAC">
        <w:rPr>
          <w:rFonts w:eastAsia="Times New Roman" w:cstheme="minorHAnsi"/>
          <w:color w:val="141414"/>
        </w:rPr>
        <w:t xml:space="preserve">rgent calls and infectious disease reporting </w:t>
      </w:r>
      <w:r w:rsidR="00AB5816">
        <w:rPr>
          <w:rFonts w:eastAsia="Times New Roman" w:cstheme="minorHAnsi"/>
          <w:color w:val="141414"/>
        </w:rPr>
        <w:t xml:space="preserve">call </w:t>
      </w:r>
      <w:r w:rsidR="007805C1">
        <w:rPr>
          <w:rFonts w:eastAsia="Times New Roman" w:cstheme="minorHAnsi"/>
          <w:color w:val="141414"/>
        </w:rPr>
        <w:t>(617) 983–6800</w:t>
      </w:r>
      <w:r w:rsidR="00E64A75">
        <w:rPr>
          <w:rFonts w:eastAsia="Times New Roman" w:cstheme="minorHAnsi"/>
          <w:color w:val="141414"/>
        </w:rPr>
        <w:t>.</w:t>
      </w:r>
    </w:p>
    <w:p w:rsidR="00322ED9" w:rsidRPr="00D1427F" w:rsidRDefault="00322ED9" w:rsidP="00322ED9">
      <w:pPr>
        <w:rPr>
          <w:b/>
          <w:sz w:val="24"/>
          <w:szCs w:val="24"/>
          <w:u w:val="single"/>
        </w:rPr>
      </w:pPr>
      <w:r w:rsidRPr="00D1427F">
        <w:rPr>
          <w:b/>
          <w:sz w:val="24"/>
          <w:szCs w:val="24"/>
          <w:u w:val="single"/>
        </w:rPr>
        <w:t>Contacts for Reportable Disease-related questions:</w:t>
      </w:r>
    </w:p>
    <w:p w:rsidR="00322ED9" w:rsidRPr="00D13F02" w:rsidRDefault="00322ED9" w:rsidP="00322ED9">
      <w:pPr>
        <w:rPr>
          <w:b/>
          <w:sz w:val="24"/>
          <w:szCs w:val="24"/>
        </w:rPr>
      </w:pPr>
      <w:r w:rsidRPr="00D13F02">
        <w:rPr>
          <w:b/>
          <w:sz w:val="24"/>
          <w:szCs w:val="24"/>
        </w:rPr>
        <w:t>Epi-of-the-Day and Epidemiologist-on-Call</w:t>
      </w:r>
      <w:r w:rsidRPr="00D13F02">
        <w:rPr>
          <w:b/>
          <w:sz w:val="24"/>
          <w:szCs w:val="24"/>
          <w:u w:val="single"/>
        </w:rPr>
        <w:t xml:space="preserve"> </w:t>
      </w:r>
      <w:r w:rsidRPr="00D13F02">
        <w:rPr>
          <w:b/>
          <w:sz w:val="24"/>
          <w:szCs w:val="24"/>
        </w:rPr>
        <w:t xml:space="preserve">617-983-6800 </w:t>
      </w:r>
      <w:r w:rsidRPr="00D13F02">
        <w:rPr>
          <w:sz w:val="24"/>
          <w:szCs w:val="24"/>
        </w:rPr>
        <w:t>(</w:t>
      </w:r>
      <w:r w:rsidR="00541AF6">
        <w:rPr>
          <w:sz w:val="24"/>
          <w:szCs w:val="24"/>
        </w:rPr>
        <w:t xml:space="preserve">available </w:t>
      </w:r>
      <w:r w:rsidRPr="00D13F02">
        <w:rPr>
          <w:sz w:val="24"/>
          <w:szCs w:val="24"/>
        </w:rPr>
        <w:t>24/7)</w:t>
      </w:r>
    </w:p>
    <w:p w:rsidR="006A31FB" w:rsidRPr="006A31FB" w:rsidRDefault="006A31FB" w:rsidP="006A31FB">
      <w:pPr>
        <w:pStyle w:val="ListParagraph"/>
        <w:numPr>
          <w:ilvl w:val="0"/>
          <w:numId w:val="2"/>
        </w:numPr>
        <w:ind w:left="360" w:hanging="360"/>
        <w:rPr>
          <w:b/>
          <w:sz w:val="28"/>
          <w:szCs w:val="28"/>
          <w:u w:val="single"/>
        </w:rPr>
      </w:pPr>
      <w:r w:rsidRPr="006A31FB">
        <w:rPr>
          <w:b/>
          <w:sz w:val="28"/>
          <w:szCs w:val="28"/>
          <w:u w:val="single"/>
        </w:rPr>
        <w:t>MA Virtual Epidemiological Network ( MAVEN )</w:t>
      </w:r>
    </w:p>
    <w:p w:rsidR="00775195" w:rsidRPr="007805C1" w:rsidRDefault="00775195" w:rsidP="00627FF2">
      <w:pPr>
        <w:rPr>
          <w:b/>
          <w:sz w:val="28"/>
          <w:szCs w:val="28"/>
          <w:u w:val="single"/>
        </w:rPr>
      </w:pPr>
      <w:r>
        <w:t xml:space="preserve">You will be notified most often of Reportables via the </w:t>
      </w:r>
      <w:r w:rsidRPr="00775195">
        <w:rPr>
          <w:b/>
        </w:rPr>
        <w:t>MA Virtual Epidemiological Network ( MAVEN</w:t>
      </w:r>
      <w:r>
        <w:t xml:space="preserve"> ).  When a reportable requires immediate notification and followup, you </w:t>
      </w:r>
      <w:r w:rsidR="00D1427F">
        <w:t>also</w:t>
      </w:r>
      <w:r w:rsidR="00AF24B2">
        <w:t xml:space="preserve"> </w:t>
      </w:r>
      <w:r>
        <w:t>will receive a phone call from the epidemiologist overseeing that particular case.</w:t>
      </w:r>
    </w:p>
    <w:p w:rsidR="00322ED9" w:rsidRDefault="00322ED9" w:rsidP="00322ED9">
      <w:pPr>
        <w:rPr>
          <w:b/>
          <w:sz w:val="24"/>
          <w:szCs w:val="24"/>
          <w:u w:val="single"/>
        </w:rPr>
      </w:pPr>
      <w:r w:rsidRPr="00D1427F">
        <w:rPr>
          <w:b/>
          <w:sz w:val="24"/>
          <w:szCs w:val="24"/>
          <w:u w:val="single"/>
        </w:rPr>
        <w:t>Contacts for MAVEN-related questions:</w:t>
      </w:r>
    </w:p>
    <w:p w:rsidR="005E021A" w:rsidRPr="005E021A" w:rsidRDefault="005E021A" w:rsidP="00322ED9">
      <w:pPr>
        <w:rPr>
          <w:rFonts w:cstheme="minorHAnsi"/>
          <w:b/>
          <w:sz w:val="24"/>
          <w:szCs w:val="24"/>
          <w:u w:val="single"/>
        </w:rPr>
      </w:pPr>
      <w:r w:rsidRPr="005E021A">
        <w:rPr>
          <w:rFonts w:cstheme="minorHAnsi"/>
          <w:b/>
          <w:color w:val="141414"/>
          <w:sz w:val="24"/>
          <w:szCs w:val="24"/>
        </w:rPr>
        <w:t>Office of Integrated Surveillance and Informatics Services (</w:t>
      </w:r>
      <w:r w:rsidRPr="005E021A">
        <w:rPr>
          <w:rFonts w:cstheme="minorHAnsi"/>
          <w:b/>
          <w:bCs/>
          <w:color w:val="141414"/>
          <w:sz w:val="24"/>
          <w:szCs w:val="24"/>
        </w:rPr>
        <w:t>ISIS</w:t>
      </w:r>
      <w:r w:rsidRPr="005E021A">
        <w:rPr>
          <w:rFonts w:cstheme="minorHAnsi"/>
          <w:b/>
          <w:color w:val="141414"/>
          <w:sz w:val="24"/>
          <w:szCs w:val="24"/>
        </w:rPr>
        <w:t>) </w:t>
      </w:r>
    </w:p>
    <w:p w:rsidR="003C67AE" w:rsidRPr="00AB5816" w:rsidRDefault="003C67AE" w:rsidP="003C67AE">
      <w:pPr>
        <w:rPr>
          <w:b/>
          <w:sz w:val="24"/>
          <w:szCs w:val="24"/>
        </w:rPr>
      </w:pPr>
      <w:r w:rsidRPr="00AB5816">
        <w:rPr>
          <w:b/>
          <w:sz w:val="24"/>
          <w:szCs w:val="24"/>
        </w:rPr>
        <w:t>ISIS Help Desk</w:t>
      </w:r>
      <w:r w:rsidRPr="00AB5816">
        <w:rPr>
          <w:b/>
          <w:sz w:val="24"/>
          <w:szCs w:val="24"/>
          <w:u w:val="single"/>
        </w:rPr>
        <w:t xml:space="preserve"> </w:t>
      </w:r>
      <w:r w:rsidR="00541AF6">
        <w:rPr>
          <w:b/>
          <w:sz w:val="24"/>
          <w:szCs w:val="24"/>
        </w:rPr>
        <w:t xml:space="preserve">(617) </w:t>
      </w:r>
      <w:r w:rsidRPr="00AB5816">
        <w:rPr>
          <w:b/>
          <w:sz w:val="24"/>
          <w:szCs w:val="24"/>
        </w:rPr>
        <w:t xml:space="preserve">983-6801 </w:t>
      </w:r>
      <w:r w:rsidRPr="00AB5816">
        <w:rPr>
          <w:sz w:val="24"/>
          <w:szCs w:val="24"/>
        </w:rPr>
        <w:t>(</w:t>
      </w:r>
      <w:r w:rsidR="00C749D0">
        <w:rPr>
          <w:sz w:val="24"/>
          <w:szCs w:val="24"/>
        </w:rPr>
        <w:t>Business hours</w:t>
      </w:r>
      <w:r w:rsidRPr="00AB5816">
        <w:rPr>
          <w:sz w:val="24"/>
          <w:szCs w:val="24"/>
        </w:rPr>
        <w:t>)</w:t>
      </w:r>
      <w:r w:rsidR="007425D0" w:rsidRPr="00AB5816">
        <w:rPr>
          <w:sz w:val="24"/>
          <w:szCs w:val="24"/>
        </w:rPr>
        <w:t>; fax 617-983-6813</w:t>
      </w:r>
    </w:p>
    <w:p w:rsidR="00AB5816" w:rsidRPr="00F73BA2" w:rsidRDefault="00AC445D" w:rsidP="00627FF2">
      <w:pPr>
        <w:rPr>
          <w:sz w:val="24"/>
          <w:szCs w:val="24"/>
        </w:rPr>
      </w:pPr>
      <w:hyperlink r:id="rId20" w:history="1">
        <w:r w:rsidR="003C67AE" w:rsidRPr="00F73BA2">
          <w:rPr>
            <w:rStyle w:val="Hyperlink"/>
            <w:b/>
            <w:sz w:val="24"/>
            <w:szCs w:val="24"/>
          </w:rPr>
          <w:t>isishelp@state.ma.us</w:t>
        </w:r>
      </w:hyperlink>
      <w:r w:rsidR="003C67AE" w:rsidRPr="00F73BA2">
        <w:rPr>
          <w:b/>
          <w:sz w:val="24"/>
          <w:szCs w:val="24"/>
          <w:u w:val="single"/>
        </w:rPr>
        <w:t xml:space="preserve"> </w:t>
      </w:r>
      <w:r w:rsidR="003C67AE" w:rsidRPr="00F73BA2">
        <w:rPr>
          <w:sz w:val="24"/>
          <w:szCs w:val="24"/>
        </w:rPr>
        <w:t>(</w:t>
      </w:r>
      <w:r w:rsidR="003C67AE" w:rsidRPr="00F73BA2">
        <w:rPr>
          <w:b/>
          <w:sz w:val="24"/>
          <w:szCs w:val="24"/>
          <w:u w:val="single"/>
        </w:rPr>
        <w:t>do not</w:t>
      </w:r>
      <w:r w:rsidR="003C67AE" w:rsidRPr="00F73BA2">
        <w:rPr>
          <w:sz w:val="24"/>
          <w:szCs w:val="24"/>
        </w:rPr>
        <w:t xml:space="preserve"> email nam</w:t>
      </w:r>
      <w:r w:rsidR="00F73BA2">
        <w:rPr>
          <w:sz w:val="24"/>
          <w:szCs w:val="24"/>
        </w:rPr>
        <w:t xml:space="preserve">es or identifying information; </w:t>
      </w:r>
      <w:r w:rsidR="003C67AE" w:rsidRPr="00F73BA2">
        <w:rPr>
          <w:sz w:val="24"/>
          <w:szCs w:val="24"/>
        </w:rPr>
        <w:t>use the MAVEN Event ID)</w:t>
      </w:r>
      <w:r w:rsidR="00775195" w:rsidRPr="00F73BA2">
        <w:rPr>
          <w:sz w:val="24"/>
          <w:szCs w:val="24"/>
        </w:rPr>
        <w:t xml:space="preserve"> </w:t>
      </w:r>
    </w:p>
    <w:p w:rsidR="00775195" w:rsidRDefault="003C67AE" w:rsidP="00627FF2">
      <w:r>
        <w:t xml:space="preserve">For full information on how to navigate MAVEN, go to </w:t>
      </w:r>
      <w:hyperlink r:id="rId21" w:history="1">
        <w:r w:rsidR="00AB5816" w:rsidRPr="00AB5816">
          <w:rPr>
            <w:color w:val="0000FF"/>
            <w:u w:val="single"/>
          </w:rPr>
          <w:t>MAVEN Online Help (maventrainingsite.com)</w:t>
        </w:r>
      </w:hyperlink>
      <w:r w:rsidR="00AB5816">
        <w:t xml:space="preserve"> </w:t>
      </w:r>
      <w:r w:rsidR="00E31C5F">
        <w:t>or use one of the contacts above.</w:t>
      </w:r>
      <w:r w:rsidR="00AB5816">
        <w:t xml:space="preserve">  You need to apply and be trained in MAVEN before you will be allowed full access.</w:t>
      </w:r>
    </w:p>
    <w:p w:rsidR="00AB5816" w:rsidRPr="00AB5816" w:rsidRDefault="00AB5816" w:rsidP="00627FF2">
      <w:pPr>
        <w:rPr>
          <w:color w:val="0000FF" w:themeColor="hyperlink"/>
          <w:u w:val="single"/>
        </w:rPr>
      </w:pPr>
      <w:r>
        <w:t xml:space="preserve">Log on to MAVEN: </w:t>
      </w:r>
      <w:hyperlink r:id="rId22" w:history="1">
        <w:r w:rsidR="00541AF6">
          <w:rPr>
            <w:color w:val="0000FF"/>
            <w:u w:val="single"/>
          </w:rPr>
          <w:t xml:space="preserve">EOHHS- Virtual Gateway </w:t>
        </w:r>
      </w:hyperlink>
    </w:p>
    <w:p w:rsidR="000C583D" w:rsidRDefault="0083216B" w:rsidP="00627FF2">
      <w:r>
        <w:t xml:space="preserve">For Immediate and Routine Notifications, </w:t>
      </w:r>
      <w:r w:rsidR="009E02AB">
        <w:t>follow up</w:t>
      </w:r>
      <w:r>
        <w:t xml:space="preserve"> by contacting the case, and ask the questions requested in the form.  If you need to send the case a letter, there </w:t>
      </w:r>
      <w:r w:rsidR="00AB5816">
        <w:t xml:space="preserve">is a </w:t>
      </w:r>
      <w:r>
        <w:t>template</w:t>
      </w:r>
      <w:r w:rsidR="00AB5816">
        <w:t xml:space="preserve"> </w:t>
      </w:r>
      <w:r w:rsidR="00262EA4">
        <w:t>in MAVEN</w:t>
      </w:r>
      <w:r w:rsidR="009F1516">
        <w:t xml:space="preserve">.  Include the </w:t>
      </w:r>
      <w:r w:rsidR="00AB5816">
        <w:t xml:space="preserve">corresponding </w:t>
      </w:r>
      <w:r w:rsidR="009F1516">
        <w:t>Disease Fact Sheet and your business card in the letter.  Disease Fact sheets can be obtained at:</w:t>
      </w:r>
      <w:r w:rsidR="00541AF6">
        <w:t xml:space="preserve">  </w:t>
      </w:r>
      <w:hyperlink r:id="rId23" w:history="1">
        <w:r w:rsidR="000C583D" w:rsidRPr="000C583D">
          <w:rPr>
            <w:color w:val="0000FF"/>
            <w:u w:val="single"/>
          </w:rPr>
          <w:t>Fact Sheets on Infectious Diseases | Mass.gov</w:t>
        </w:r>
      </w:hyperlink>
    </w:p>
    <w:p w:rsidR="00277E58" w:rsidRDefault="00F57B30" w:rsidP="00627FF2">
      <w:r>
        <w:t xml:space="preserve">If </w:t>
      </w:r>
      <w:r w:rsidR="00541AF6">
        <w:t xml:space="preserve">there is </w:t>
      </w:r>
      <w:r>
        <w:t xml:space="preserve">no response from the case, </w:t>
      </w:r>
      <w:r w:rsidR="00541AF6">
        <w:t xml:space="preserve">call again or </w:t>
      </w:r>
      <w:r>
        <w:t>send another letter</w:t>
      </w:r>
      <w:r w:rsidR="00AB5816">
        <w:t>.</w:t>
      </w:r>
      <w:r>
        <w:t xml:space="preserve"> </w:t>
      </w:r>
      <w:r w:rsidR="00277E58">
        <w:t xml:space="preserve">If unable to contact case after 3 attempts, make a note in MAVEN as </w:t>
      </w:r>
      <w:r w:rsidR="00277E58" w:rsidRPr="00B6178E">
        <w:rPr>
          <w:i/>
        </w:rPr>
        <w:t xml:space="preserve">Lost to </w:t>
      </w:r>
      <w:r w:rsidR="00850762" w:rsidRPr="00B6178E">
        <w:rPr>
          <w:i/>
        </w:rPr>
        <w:t>Follow Up</w:t>
      </w:r>
      <w:r w:rsidR="00277E58">
        <w:t>, and close the case.</w:t>
      </w:r>
    </w:p>
    <w:sectPr w:rsidR="00277E58" w:rsidSect="005E021A">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054" w:rsidRDefault="00991054" w:rsidP="00DC72EB">
      <w:pPr>
        <w:spacing w:after="0" w:line="240" w:lineRule="auto"/>
      </w:pPr>
      <w:r>
        <w:separator/>
      </w:r>
    </w:p>
  </w:endnote>
  <w:endnote w:type="continuationSeparator" w:id="0">
    <w:p w:rsidR="00991054" w:rsidRDefault="00991054" w:rsidP="00DC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B4" w:rsidRDefault="00331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FAC" w:rsidRPr="00390FAC" w:rsidRDefault="00F54115">
    <w:pPr>
      <w:pStyle w:val="Footer"/>
      <w:pBdr>
        <w:top w:val="thinThickSmallGap" w:sz="24" w:space="1" w:color="622423" w:themeColor="accent2" w:themeShade="7F"/>
      </w:pBdr>
      <w:rPr>
        <w:rFonts w:asciiTheme="majorHAnsi" w:eastAsiaTheme="majorEastAsia" w:hAnsiTheme="majorHAnsi" w:cstheme="majorBidi"/>
        <w:i/>
      </w:rPr>
    </w:pPr>
    <w:r>
      <w:rPr>
        <w:rFonts w:asciiTheme="majorHAnsi" w:hAnsiTheme="majorHAnsi"/>
        <w:i/>
        <w:sz w:val="24"/>
        <w:szCs w:val="24"/>
      </w:rPr>
      <w:t>13.</w:t>
    </w:r>
    <w:r w:rsidR="0030363F">
      <w:rPr>
        <w:rFonts w:asciiTheme="majorHAnsi" w:hAnsiTheme="majorHAnsi"/>
        <w:i/>
        <w:sz w:val="24"/>
        <w:szCs w:val="24"/>
      </w:rPr>
      <w:t xml:space="preserve"> </w:t>
    </w:r>
    <w:r w:rsidR="00390FAC" w:rsidRPr="00390FAC">
      <w:rPr>
        <w:rFonts w:asciiTheme="majorHAnsi" w:hAnsiTheme="majorHAnsi"/>
        <w:i/>
        <w:sz w:val="24"/>
        <w:szCs w:val="24"/>
      </w:rPr>
      <w:t>Reportable Diseases Guideline</w:t>
    </w:r>
    <w:r w:rsidR="00390FAC" w:rsidRPr="00390FAC">
      <w:rPr>
        <w:b/>
        <w:i/>
        <w:sz w:val="28"/>
        <w:szCs w:val="28"/>
      </w:rPr>
      <w:t xml:space="preserve"> </w:t>
    </w:r>
    <w:r w:rsidR="00390FAC" w:rsidRPr="00390FAC">
      <w:rPr>
        <w:rFonts w:asciiTheme="majorHAnsi" w:eastAsiaTheme="majorEastAsia" w:hAnsiTheme="majorHAnsi" w:cstheme="majorBidi"/>
        <w:i/>
      </w:rPr>
      <w:ptab w:relativeTo="margin" w:alignment="right" w:leader="none"/>
    </w:r>
    <w:r w:rsidR="00390FAC" w:rsidRPr="00390FAC">
      <w:rPr>
        <w:rFonts w:asciiTheme="majorHAnsi" w:eastAsiaTheme="majorEastAsia" w:hAnsiTheme="majorHAnsi" w:cstheme="majorBidi"/>
        <w:i/>
      </w:rPr>
      <w:t xml:space="preserve">Page </w:t>
    </w:r>
    <w:r w:rsidR="00390FAC" w:rsidRPr="00390FAC">
      <w:rPr>
        <w:rFonts w:eastAsiaTheme="minorEastAsia"/>
        <w:i/>
      </w:rPr>
      <w:fldChar w:fldCharType="begin"/>
    </w:r>
    <w:r w:rsidR="00390FAC" w:rsidRPr="00390FAC">
      <w:rPr>
        <w:i/>
      </w:rPr>
      <w:instrText xml:space="preserve"> PAGE   \* MERGEFORMAT </w:instrText>
    </w:r>
    <w:r w:rsidR="00390FAC" w:rsidRPr="00390FAC">
      <w:rPr>
        <w:rFonts w:eastAsiaTheme="minorEastAsia"/>
        <w:i/>
      </w:rPr>
      <w:fldChar w:fldCharType="separate"/>
    </w:r>
    <w:r w:rsidR="00AC445D" w:rsidRPr="00AC445D">
      <w:rPr>
        <w:rFonts w:asciiTheme="majorHAnsi" w:eastAsiaTheme="majorEastAsia" w:hAnsiTheme="majorHAnsi" w:cstheme="majorBidi"/>
        <w:i/>
        <w:noProof/>
      </w:rPr>
      <w:t>1</w:t>
    </w:r>
    <w:r w:rsidR="00390FAC" w:rsidRPr="00390FAC">
      <w:rPr>
        <w:rFonts w:asciiTheme="majorHAnsi" w:eastAsiaTheme="majorEastAsia" w:hAnsiTheme="majorHAnsi" w:cstheme="majorBidi"/>
        <w:i/>
        <w:noProof/>
      </w:rPr>
      <w:fldChar w:fldCharType="end"/>
    </w:r>
  </w:p>
  <w:p w:rsidR="00322ED9" w:rsidRPr="00390FAC" w:rsidRDefault="00322ED9" w:rsidP="00390F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B4" w:rsidRDefault="00331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054" w:rsidRDefault="00991054" w:rsidP="00DC72EB">
      <w:pPr>
        <w:spacing w:after="0" w:line="240" w:lineRule="auto"/>
      </w:pPr>
      <w:r>
        <w:separator/>
      </w:r>
    </w:p>
  </w:footnote>
  <w:footnote w:type="continuationSeparator" w:id="0">
    <w:p w:rsidR="00991054" w:rsidRDefault="00991054" w:rsidP="00DC7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B4" w:rsidRDefault="00331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403" w:rsidRPr="00567403" w:rsidRDefault="004A45B2" w:rsidP="004A45B2">
    <w:pPr>
      <w:pStyle w:val="Header"/>
      <w:rPr>
        <w:rFonts w:asciiTheme="majorHAnsi" w:hAnsiTheme="majorHAnsi"/>
        <w:b/>
        <w:sz w:val="32"/>
        <w:szCs w:val="32"/>
      </w:rPr>
    </w:pPr>
    <w:r w:rsidRPr="00567403">
      <w:rPr>
        <w:rFonts w:asciiTheme="majorHAnsi" w:hAnsiTheme="majorHAnsi"/>
        <w:b/>
        <w:sz w:val="32"/>
        <w:szCs w:val="32"/>
      </w:rPr>
      <w:t xml:space="preserve">Reportable Diseases Guideline </w:t>
    </w:r>
  </w:p>
  <w:p w:rsidR="004A45B2" w:rsidRPr="00575E20" w:rsidRDefault="004A45B2" w:rsidP="004A45B2">
    <w:pPr>
      <w:pStyle w:val="Header"/>
      <w:rPr>
        <w:rFonts w:asciiTheme="majorHAnsi" w:hAnsiTheme="majorHAnsi"/>
        <w:b/>
        <w:sz w:val="28"/>
        <w:szCs w:val="28"/>
      </w:rPr>
    </w:pPr>
    <w:r w:rsidRPr="00575E20">
      <w:rPr>
        <w:rFonts w:asciiTheme="majorHAnsi" w:hAnsiTheme="majorHAnsi"/>
        <w:b/>
      </w:rPr>
      <w:t>(except Tuberculosis</w:t>
    </w:r>
    <w:r w:rsidR="003316B4">
      <w:rPr>
        <w:rFonts w:asciiTheme="majorHAnsi" w:hAnsiTheme="majorHAnsi"/>
        <w:b/>
      </w:rPr>
      <w:t xml:space="preserve"> and COVID-19</w:t>
    </w:r>
    <w:r w:rsidRPr="00575E20">
      <w:rPr>
        <w:rFonts w:asciiTheme="majorHAnsi" w:hAnsiTheme="majorHAnsi"/>
        <w:b/>
      </w:rPr>
      <w:t>)</w:t>
    </w:r>
  </w:p>
  <w:p w:rsidR="00641B6E" w:rsidRPr="004A45B2" w:rsidRDefault="00641B6E" w:rsidP="004A4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B4" w:rsidRDefault="00331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10417"/>
    <w:multiLevelType w:val="hybridMultilevel"/>
    <w:tmpl w:val="EC7C0168"/>
    <w:lvl w:ilvl="0" w:tplc="EB7C7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740BC"/>
    <w:multiLevelType w:val="hybridMultilevel"/>
    <w:tmpl w:val="E06C27D6"/>
    <w:lvl w:ilvl="0" w:tplc="72A8071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9514AC"/>
    <w:multiLevelType w:val="hybridMultilevel"/>
    <w:tmpl w:val="51489788"/>
    <w:lvl w:ilvl="0" w:tplc="72A8071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C72EB"/>
    <w:rsid w:val="00032320"/>
    <w:rsid w:val="000A2BC4"/>
    <w:rsid w:val="000C583D"/>
    <w:rsid w:val="001057FE"/>
    <w:rsid w:val="001117DC"/>
    <w:rsid w:val="0012744A"/>
    <w:rsid w:val="00135232"/>
    <w:rsid w:val="00171FF2"/>
    <w:rsid w:val="001A7C1B"/>
    <w:rsid w:val="00262EA4"/>
    <w:rsid w:val="00277E58"/>
    <w:rsid w:val="0030363F"/>
    <w:rsid w:val="00322ED9"/>
    <w:rsid w:val="003316B4"/>
    <w:rsid w:val="00390FAC"/>
    <w:rsid w:val="003C67AE"/>
    <w:rsid w:val="00430469"/>
    <w:rsid w:val="0043314C"/>
    <w:rsid w:val="0043635C"/>
    <w:rsid w:val="004664B0"/>
    <w:rsid w:val="00474DCA"/>
    <w:rsid w:val="004A45B2"/>
    <w:rsid w:val="0050531D"/>
    <w:rsid w:val="00541AF6"/>
    <w:rsid w:val="00560134"/>
    <w:rsid w:val="00567403"/>
    <w:rsid w:val="00575E20"/>
    <w:rsid w:val="005829BB"/>
    <w:rsid w:val="005E021A"/>
    <w:rsid w:val="00627FF2"/>
    <w:rsid w:val="00641B6E"/>
    <w:rsid w:val="00653CAF"/>
    <w:rsid w:val="006A31FB"/>
    <w:rsid w:val="006C49C7"/>
    <w:rsid w:val="007425D0"/>
    <w:rsid w:val="00775195"/>
    <w:rsid w:val="007777E8"/>
    <w:rsid w:val="007805C1"/>
    <w:rsid w:val="007D0853"/>
    <w:rsid w:val="008001B7"/>
    <w:rsid w:val="0083216B"/>
    <w:rsid w:val="00846204"/>
    <w:rsid w:val="00850762"/>
    <w:rsid w:val="008573BB"/>
    <w:rsid w:val="0087499D"/>
    <w:rsid w:val="009073ED"/>
    <w:rsid w:val="009445B0"/>
    <w:rsid w:val="00952211"/>
    <w:rsid w:val="00977FAC"/>
    <w:rsid w:val="00991054"/>
    <w:rsid w:val="009A0109"/>
    <w:rsid w:val="009C3D4D"/>
    <w:rsid w:val="009E02AB"/>
    <w:rsid w:val="009F1516"/>
    <w:rsid w:val="00AB5816"/>
    <w:rsid w:val="00AC445D"/>
    <w:rsid w:val="00AC70D1"/>
    <w:rsid w:val="00AD7E08"/>
    <w:rsid w:val="00AF24B2"/>
    <w:rsid w:val="00AF57E6"/>
    <w:rsid w:val="00B341A9"/>
    <w:rsid w:val="00B6178E"/>
    <w:rsid w:val="00BA49B3"/>
    <w:rsid w:val="00BB2AE4"/>
    <w:rsid w:val="00BF040A"/>
    <w:rsid w:val="00BF2E98"/>
    <w:rsid w:val="00C17B83"/>
    <w:rsid w:val="00C749D0"/>
    <w:rsid w:val="00C92E6F"/>
    <w:rsid w:val="00CB5C5E"/>
    <w:rsid w:val="00CD472A"/>
    <w:rsid w:val="00D13F02"/>
    <w:rsid w:val="00D1427F"/>
    <w:rsid w:val="00D624C6"/>
    <w:rsid w:val="00D67A28"/>
    <w:rsid w:val="00DC72EB"/>
    <w:rsid w:val="00DE2F5E"/>
    <w:rsid w:val="00E27EF4"/>
    <w:rsid w:val="00E31C5F"/>
    <w:rsid w:val="00E463E5"/>
    <w:rsid w:val="00E64A75"/>
    <w:rsid w:val="00EC1B39"/>
    <w:rsid w:val="00EC6B79"/>
    <w:rsid w:val="00F31270"/>
    <w:rsid w:val="00F54115"/>
    <w:rsid w:val="00F57B30"/>
    <w:rsid w:val="00F73BA2"/>
    <w:rsid w:val="00F81406"/>
    <w:rsid w:val="00F92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2EB"/>
  </w:style>
  <w:style w:type="paragraph" w:styleId="Footer">
    <w:name w:val="footer"/>
    <w:basedOn w:val="Normal"/>
    <w:link w:val="FooterChar"/>
    <w:uiPriority w:val="99"/>
    <w:unhideWhenUsed/>
    <w:rsid w:val="00DC7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2EB"/>
  </w:style>
  <w:style w:type="character" w:styleId="Hyperlink">
    <w:name w:val="Hyperlink"/>
    <w:basedOn w:val="DefaultParagraphFont"/>
    <w:unhideWhenUsed/>
    <w:rsid w:val="00627FF2"/>
    <w:rPr>
      <w:color w:val="0000FF" w:themeColor="hyperlink"/>
      <w:u w:val="single"/>
    </w:rPr>
  </w:style>
  <w:style w:type="character" w:styleId="FollowedHyperlink">
    <w:name w:val="FollowedHyperlink"/>
    <w:basedOn w:val="DefaultParagraphFont"/>
    <w:uiPriority w:val="99"/>
    <w:semiHidden/>
    <w:unhideWhenUsed/>
    <w:rsid w:val="009E02AB"/>
    <w:rPr>
      <w:color w:val="800080" w:themeColor="followedHyperlink"/>
      <w:u w:val="single"/>
    </w:rPr>
  </w:style>
  <w:style w:type="paragraph" w:styleId="BalloonText">
    <w:name w:val="Balloon Text"/>
    <w:basedOn w:val="Normal"/>
    <w:link w:val="BalloonTextChar"/>
    <w:uiPriority w:val="99"/>
    <w:semiHidden/>
    <w:unhideWhenUsed/>
    <w:rsid w:val="0039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AC"/>
    <w:rPr>
      <w:rFonts w:ascii="Tahoma" w:hAnsi="Tahoma" w:cs="Tahoma"/>
      <w:sz w:val="16"/>
      <w:szCs w:val="16"/>
    </w:rPr>
  </w:style>
  <w:style w:type="paragraph" w:styleId="ListParagraph">
    <w:name w:val="List Paragraph"/>
    <w:basedOn w:val="Normal"/>
    <w:uiPriority w:val="34"/>
    <w:qFormat/>
    <w:rsid w:val="00BF2E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3387">
      <w:bodyDiv w:val="1"/>
      <w:marLeft w:val="0"/>
      <w:marRight w:val="0"/>
      <w:marTop w:val="0"/>
      <w:marBottom w:val="0"/>
      <w:divBdr>
        <w:top w:val="none" w:sz="0" w:space="0" w:color="auto"/>
        <w:left w:val="none" w:sz="0" w:space="0" w:color="auto"/>
        <w:bottom w:val="none" w:sz="0" w:space="0" w:color="auto"/>
        <w:right w:val="none" w:sz="0" w:space="0" w:color="auto"/>
      </w:divBdr>
      <w:divsChild>
        <w:div w:id="125516156">
          <w:marLeft w:val="0"/>
          <w:marRight w:val="0"/>
          <w:marTop w:val="0"/>
          <w:marBottom w:val="48"/>
          <w:divBdr>
            <w:top w:val="none" w:sz="0" w:space="0" w:color="auto"/>
            <w:left w:val="none" w:sz="0" w:space="0" w:color="auto"/>
            <w:bottom w:val="none" w:sz="0" w:space="0" w:color="auto"/>
            <w:right w:val="none" w:sz="0" w:space="0" w:color="auto"/>
          </w:divBdr>
        </w:div>
        <w:div w:id="1874222649">
          <w:marLeft w:val="0"/>
          <w:marRight w:val="0"/>
          <w:marTop w:val="0"/>
          <w:marBottom w:val="48"/>
          <w:divBdr>
            <w:top w:val="none" w:sz="0" w:space="0" w:color="auto"/>
            <w:left w:val="none" w:sz="0" w:space="0" w:color="auto"/>
            <w:bottom w:val="none" w:sz="0" w:space="0" w:color="auto"/>
            <w:right w:val="none" w:sz="0" w:space="0" w:color="auto"/>
          </w:divBdr>
        </w:div>
        <w:div w:id="1555048111">
          <w:marLeft w:val="0"/>
          <w:marRight w:val="0"/>
          <w:marTop w:val="0"/>
          <w:marBottom w:val="48"/>
          <w:divBdr>
            <w:top w:val="none" w:sz="0" w:space="0" w:color="auto"/>
            <w:left w:val="none" w:sz="0" w:space="0" w:color="auto"/>
            <w:bottom w:val="none" w:sz="0" w:space="0" w:color="auto"/>
            <w:right w:val="none" w:sz="0" w:space="0" w:color="auto"/>
          </w:divBdr>
        </w:div>
      </w:divsChild>
    </w:div>
    <w:div w:id="1694767086">
      <w:bodyDiv w:val="1"/>
      <w:marLeft w:val="0"/>
      <w:marRight w:val="0"/>
      <w:marTop w:val="0"/>
      <w:marBottom w:val="0"/>
      <w:divBdr>
        <w:top w:val="none" w:sz="0" w:space="0" w:color="auto"/>
        <w:left w:val="none" w:sz="0" w:space="0" w:color="auto"/>
        <w:bottom w:val="none" w:sz="0" w:space="0" w:color="auto"/>
        <w:right w:val="none" w:sz="0" w:space="0" w:color="auto"/>
      </w:divBdr>
    </w:div>
    <w:div w:id="20185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30000-reportable-diseases-surveillance-and-isolation-and-quarantine" TargetMode="External"/><Relationship Id="rId13" Type="http://schemas.openxmlformats.org/officeDocument/2006/relationships/footer" Target="footer2.xml"/><Relationship Id="rId18" Type="http://schemas.openxmlformats.org/officeDocument/2006/relationships/hyperlink" Target="https://sites.bu.edu/masslocalinstitute/2014/06/23/disease-case-management/" TargetMode="External"/><Relationship Id="rId3" Type="http://schemas.microsoft.com/office/2007/relationships/stylesWithEffects" Target="stylesWithEffects.xml"/><Relationship Id="rId21" Type="http://schemas.openxmlformats.org/officeDocument/2006/relationships/hyperlink" Target="http://www.maventrainingsite.com/maven-help/toc.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mass.gov/lists/infectious-disease-reporting-and-regulations-for-health-care-providers-and-laborator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infectious-disease-surveillance-reporting-and-control" TargetMode="External"/><Relationship Id="rId20" Type="http://schemas.openxmlformats.org/officeDocument/2006/relationships/hyperlink" Target="mailto:isishelp@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mass.gov/fact-sheets-on-infectious-diseases" TargetMode="External"/><Relationship Id="rId10" Type="http://schemas.openxmlformats.org/officeDocument/2006/relationships/header" Target="header1.xml"/><Relationship Id="rId19" Type="http://schemas.openxmlformats.org/officeDocument/2006/relationships/hyperlink" Target="https://www.mass.gov/handbook/guide-to-surveillance-reporting-and-control" TargetMode="External"/><Relationship Id="rId4" Type="http://schemas.openxmlformats.org/officeDocument/2006/relationships/settings" Target="settings.xml"/><Relationship Id="rId9" Type="http://schemas.openxmlformats.org/officeDocument/2006/relationships/hyperlink" Target="https://www.mass.gov/orgs/bureau-of-infectious-disease-and-laboratory-sciences" TargetMode="External"/><Relationship Id="rId14" Type="http://schemas.openxmlformats.org/officeDocument/2006/relationships/header" Target="header3.xml"/><Relationship Id="rId22" Type="http://schemas.openxmlformats.org/officeDocument/2006/relationships/hyperlink" Target="https://sso.hhs.state.ma.us/oam/server/obrareq.cgi?encquery%3Dh4pwcHRvPD%2BzC6M6J1j5LWVc4SFWZQjB9ZrXfhpp0410tAKV13iFpIEuiQGOS0nioR%2FXYZfr528cq7b87b%2BSZD195SmES8Dkf5fFRe%2B9m2JCXRoN4v5NsFuF0LpsAuW8GQeeYkdTZBPU3xD6%2B1Ufy2CJElkzGzRIP4RBfgS9LxZU41hqNgSwgAQdT00s4%2BRPgg0tM2CjKJr0hhS2A6wEmwB66azZqgA2vvWqh2w1ToY1aY6P%2FSFTjNkePdbDd1nwm0W5hDh67rOxLXwZBm3sjNisVsJF%2BTzOQ40KLHCTt6dIvHtFdD660cgiTymlD24tFBKc1vfshVUtdXCWDB%2BJ%2FSdyYAnPQZabW7IkoKCOGga0IKFXLfg1G9zZGZ2xk4sBHX%2ByBExMmqCCbpdHCeQVfEbg98aFLIhmtrIXbI2tli7jSg26uOrBxuv9rdHnPrTVKpdQ0VAd8OA1O9ZD%2B%2F7wkA%3D%3D%20agentid%3Dwebgate1%20ver%3D1%20crmethod%3D2&amp;ECID-Context=1.6095385197746936%3BkXhgl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Town of Natick</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lmercer</dc:creator>
  <cp:lastModifiedBy>David Mercer</cp:lastModifiedBy>
  <cp:revision>68</cp:revision>
  <dcterms:created xsi:type="dcterms:W3CDTF">2017-07-31T16:28:00Z</dcterms:created>
  <dcterms:modified xsi:type="dcterms:W3CDTF">2022-04-08T17:40:00Z</dcterms:modified>
</cp:coreProperties>
</file>